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24" w:rsidRPr="00C55511" w:rsidRDefault="00424C24" w:rsidP="00424C24">
      <w:pPr>
        <w:rPr>
          <w:rFonts w:ascii="Arial" w:hAnsi="Arial"/>
          <w:color w:val="0000FF"/>
          <w:sz w:val="18"/>
        </w:rPr>
      </w:pPr>
      <w:r w:rsidRPr="00C555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EA60D" wp14:editId="07651459">
                <wp:simplePos x="0" y="0"/>
                <wp:positionH relativeFrom="column">
                  <wp:posOffset>1947705</wp:posOffset>
                </wp:positionH>
                <wp:positionV relativeFrom="paragraph">
                  <wp:posOffset>-108089</wp:posOffset>
                </wp:positionV>
                <wp:extent cx="3996000" cy="1684800"/>
                <wp:effectExtent l="0" t="0" r="2413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00" cy="16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C24" w:rsidRDefault="00424C24" w:rsidP="00424C24">
                            <w:pP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24C24" w:rsidRPr="00CC108C" w:rsidRDefault="00424C24" w:rsidP="00424C24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ООО Банк "Элита".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Юридический адрес: 248000, г. Калуга, ул. Московская д.6. 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ИНН/ОГРН: 4026005138/1024000001002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Тел 8-4842-27-74-20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Официальный сайт: </w:t>
                            </w:r>
                          </w:p>
                          <w:p w:rsidR="00424C24" w:rsidRPr="00CC108C" w:rsidRDefault="00424C24" w:rsidP="00424C24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www.bankelita.ru.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Лицензия № 1399 выдана Банком России 24.10.2018</w:t>
                            </w:r>
                          </w:p>
                          <w:p w:rsidR="00424C24" w:rsidRDefault="00424C24" w:rsidP="00424C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EA6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3.35pt;margin-top:-8.5pt;width:314.65pt;height:1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">
                <v:textbox>
                  <w:txbxContent>
                    <w:p w:rsidR="00424C24" w:rsidRDefault="00424C24" w:rsidP="00424C24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:rsidR="00424C24" w:rsidRPr="00CC108C" w:rsidRDefault="00424C24" w:rsidP="00424C24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ООО Банк "Элита".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Юридический адрес: 248000, г. Калуга, ул. Московская д.6. 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ИНН/ОГРН: 4026005138/1024000001002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Тел 8-4842-27-74-20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Официальный сайт: </w:t>
                      </w:r>
                    </w:p>
                    <w:p w:rsidR="00424C24" w:rsidRPr="00CC108C" w:rsidRDefault="00424C24" w:rsidP="00424C24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www.bankelita.ru.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Лицензия № 1399 выдана Банком России 24.10.2018</w:t>
                      </w:r>
                    </w:p>
                    <w:p w:rsidR="00424C24" w:rsidRDefault="00424C24" w:rsidP="00424C24"/>
                  </w:txbxContent>
                </v:textbox>
              </v:shape>
            </w:pict>
          </mc:Fallback>
        </mc:AlternateContent>
      </w:r>
      <w:r w:rsidRPr="00C55511">
        <w:rPr>
          <w:rFonts w:ascii="Arial" w:hAnsi="Arial"/>
          <w:noProof/>
          <w:color w:val="0000FF"/>
          <w:sz w:val="18"/>
        </w:rPr>
        <w:drawing>
          <wp:inline distT="0" distB="0" distL="0" distR="0" wp14:anchorId="4BCA42B8" wp14:editId="296E6303">
            <wp:extent cx="1137285" cy="1256030"/>
            <wp:effectExtent l="0" t="0" r="5715" b="1270"/>
            <wp:docPr id="3" name="Рисунок 3" descr="ВЮ_лого_послп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Ю_лого_послпе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C24" w:rsidRPr="00C55511" w:rsidRDefault="00424C24" w:rsidP="00424C24">
      <w:pPr>
        <w:jc w:val="center"/>
        <w:rPr>
          <w:rFonts w:ascii="Arial" w:hAnsi="Arial"/>
          <w:color w:val="0000FF"/>
          <w:sz w:val="18"/>
        </w:rPr>
      </w:pPr>
    </w:p>
    <w:p w:rsidR="00424C24" w:rsidRPr="00C55511" w:rsidRDefault="00424C24" w:rsidP="00424C24">
      <w:pPr>
        <w:jc w:val="center"/>
        <w:rPr>
          <w:rFonts w:ascii="Arial" w:hAnsi="Arial"/>
          <w:color w:val="0000FF"/>
          <w:sz w:val="18"/>
        </w:rPr>
      </w:pPr>
    </w:p>
    <w:p w:rsidR="00424C24" w:rsidRPr="00C55511" w:rsidRDefault="00424C24" w:rsidP="00424C24">
      <w:pPr>
        <w:jc w:val="center"/>
        <w:rPr>
          <w:rFonts w:ascii="Arial" w:hAnsi="Arial"/>
          <w:color w:val="0000FF"/>
          <w:sz w:val="18"/>
        </w:rPr>
      </w:pPr>
    </w:p>
    <w:p w:rsidR="00424C24" w:rsidRPr="00C55511" w:rsidRDefault="00424C24" w:rsidP="00424C24">
      <w:pPr>
        <w:jc w:val="center"/>
        <w:rPr>
          <w:rFonts w:ascii="Arial" w:hAnsi="Arial"/>
          <w:color w:val="0000FF"/>
          <w:sz w:val="18"/>
        </w:rPr>
      </w:pPr>
    </w:p>
    <w:p w:rsidR="00424C24" w:rsidRPr="00C55511" w:rsidRDefault="00424C24" w:rsidP="00424C24">
      <w:pPr>
        <w:jc w:val="center"/>
        <w:rPr>
          <w:rFonts w:ascii="Arial" w:hAnsi="Arial"/>
          <w:color w:val="0000FF"/>
          <w:sz w:val="18"/>
        </w:rPr>
      </w:pPr>
    </w:p>
    <w:p w:rsidR="00424C24" w:rsidRPr="00C55511" w:rsidRDefault="00424C24" w:rsidP="00424C24">
      <w:pPr>
        <w:jc w:val="center"/>
        <w:rPr>
          <w:rFonts w:ascii="Arial" w:hAnsi="Arial"/>
          <w:color w:val="0000FF"/>
          <w:sz w:val="18"/>
        </w:rPr>
      </w:pPr>
    </w:p>
    <w:p w:rsidR="00424C24" w:rsidRPr="00C55511" w:rsidRDefault="00424C24" w:rsidP="00424C24">
      <w:pPr>
        <w:jc w:val="center"/>
        <w:rPr>
          <w:rFonts w:ascii="Arial" w:hAnsi="Arial"/>
          <w:color w:val="0000FF"/>
          <w:sz w:val="18"/>
        </w:rPr>
      </w:pPr>
    </w:p>
    <w:p w:rsidR="00424C24" w:rsidRPr="00576D18" w:rsidRDefault="00424C24" w:rsidP="00424C24">
      <w:pPr>
        <w:spacing w:line="480" w:lineRule="auto"/>
        <w:jc w:val="center"/>
        <w:rPr>
          <w:rFonts w:ascii="Courier New" w:hAnsi="Courier New" w:cs="Courier New"/>
          <w:b/>
        </w:rPr>
      </w:pPr>
      <w:r w:rsidRPr="00576D18">
        <w:rPr>
          <w:rFonts w:ascii="Courier New" w:hAnsi="Courier New" w:cs="Courier New"/>
          <w:b/>
        </w:rPr>
        <w:t>Паспорт продукта «</w:t>
      </w:r>
      <w:r w:rsidR="00110690" w:rsidRPr="00576D18">
        <w:rPr>
          <w:rFonts w:ascii="Courier New" w:hAnsi="Courier New" w:cs="Courier New"/>
          <w:b/>
        </w:rPr>
        <w:t xml:space="preserve">Вклад </w:t>
      </w:r>
      <w:r w:rsidRPr="00576D18">
        <w:rPr>
          <w:rFonts w:ascii="Courier New" w:hAnsi="Courier New" w:cs="Courier New"/>
          <w:b/>
        </w:rPr>
        <w:t>Пенсионный»</w:t>
      </w:r>
    </w:p>
    <w:p w:rsidR="00424C24" w:rsidRPr="00C55511" w:rsidRDefault="00424C24" w:rsidP="00424C24">
      <w:pPr>
        <w:jc w:val="center"/>
        <w:rPr>
          <w:rFonts w:ascii="Courier New" w:hAnsi="Courier New" w:cs="Courier New"/>
          <w:b/>
        </w:rPr>
      </w:pPr>
      <w:r w:rsidRPr="00576D18">
        <w:rPr>
          <w:rFonts w:ascii="Courier New" w:hAnsi="Courier New" w:cs="Courier New"/>
          <w:b/>
        </w:rPr>
        <w:t>Продукт «</w:t>
      </w:r>
      <w:r w:rsidR="00110690" w:rsidRPr="00576D18">
        <w:rPr>
          <w:rFonts w:ascii="Courier New" w:hAnsi="Courier New" w:cs="Courier New"/>
          <w:b/>
        </w:rPr>
        <w:t xml:space="preserve">Вклад </w:t>
      </w:r>
      <w:r w:rsidRPr="00576D18">
        <w:rPr>
          <w:rFonts w:ascii="Courier New" w:hAnsi="Courier New" w:cs="Courier New"/>
          <w:b/>
        </w:rPr>
        <w:t>Пенсионный»</w:t>
      </w:r>
    </w:p>
    <w:p w:rsidR="00424C24" w:rsidRPr="00C55511" w:rsidRDefault="00424C24" w:rsidP="00424C24">
      <w:pPr>
        <w:jc w:val="center"/>
        <w:rPr>
          <w:rFonts w:ascii="Courier New" w:hAnsi="Courier New" w:cs="Courier New"/>
        </w:rPr>
      </w:pPr>
    </w:p>
    <w:p w:rsidR="00424C24" w:rsidRPr="00C55511" w:rsidRDefault="00424C24" w:rsidP="00424C24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</w:p>
    <w:p w:rsidR="00424C24" w:rsidRPr="00C55511" w:rsidRDefault="00424C24" w:rsidP="00424C24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Информация, указанная в документе, не является рекламой и носит исключительно справочный характер.</w:t>
      </w:r>
    </w:p>
    <w:p w:rsidR="00424C24" w:rsidRPr="00C55511" w:rsidRDefault="00424C24" w:rsidP="00424C24">
      <w:pPr>
        <w:spacing w:after="240"/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Договоре банковского вклада </w:t>
      </w:r>
      <w:r w:rsidRPr="00576D18">
        <w:rPr>
          <w:rFonts w:ascii="Courier New" w:hAnsi="Courier New" w:cs="Courier New"/>
          <w:sz w:val="22"/>
          <w:szCs w:val="22"/>
        </w:rPr>
        <w:t>«</w:t>
      </w:r>
      <w:r w:rsidR="00110690" w:rsidRPr="00576D18">
        <w:rPr>
          <w:rFonts w:ascii="Courier New" w:hAnsi="Courier New" w:cs="Courier New"/>
          <w:sz w:val="22"/>
          <w:szCs w:val="22"/>
        </w:rPr>
        <w:t>Пенсионный</w:t>
      </w:r>
      <w:r w:rsidRPr="00576D18">
        <w:rPr>
          <w:rFonts w:ascii="Courier New" w:hAnsi="Courier New" w:cs="Courier New"/>
          <w:sz w:val="22"/>
          <w:szCs w:val="22"/>
        </w:rPr>
        <w:t>»</w:t>
      </w:r>
    </w:p>
    <w:p w:rsidR="00424C24" w:rsidRPr="00C55511" w:rsidRDefault="00424C24" w:rsidP="00424C24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  <w:r w:rsidRPr="00C55511">
        <w:rPr>
          <w:rFonts w:ascii="Courier New" w:hAnsi="Courier New" w:cs="Courier New"/>
          <w:b/>
          <w:sz w:val="22"/>
          <w:szCs w:val="22"/>
        </w:rPr>
        <w:t>ОСНОВНЫЕ УСЛОВИЯ</w:t>
      </w:r>
    </w:p>
    <w:p w:rsidR="00424C24" w:rsidRPr="00C55511" w:rsidRDefault="00424C24" w:rsidP="00424C24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</w:p>
    <w:tbl>
      <w:tblPr>
        <w:tblW w:w="10065" w:type="dxa"/>
        <w:tblInd w:w="-709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424C24" w:rsidRPr="00C55511" w:rsidTr="00A41128">
        <w:trPr>
          <w:trHeight w:val="522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:rsidR="00424C24" w:rsidRPr="00C55511" w:rsidRDefault="00424C24" w:rsidP="00424C24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Сумма вклада: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минимальная сумма вклада по договору банковского вклада </w:t>
            </w:r>
            <w:r w:rsidRPr="00424C24">
              <w:rPr>
                <w:rFonts w:ascii="Courier New" w:eastAsiaTheme="minorEastAsia" w:hAnsi="Courier New" w:cs="Courier New"/>
                <w:sz w:val="22"/>
                <w:szCs w:val="22"/>
              </w:rPr>
              <w:t>«</w:t>
            </w:r>
            <w:r w:rsidRPr="00424C24">
              <w:rPr>
                <w:rFonts w:ascii="Courier New" w:hAnsi="Courier New" w:cs="Courier New"/>
              </w:rPr>
              <w:t>Пенсионный</w:t>
            </w:r>
            <w:r w:rsidRPr="00424C24">
              <w:rPr>
                <w:rFonts w:ascii="Courier New" w:eastAsiaTheme="minorEastAsia" w:hAnsi="Courier New" w:cs="Courier New"/>
                <w:sz w:val="22"/>
                <w:szCs w:val="22"/>
              </w:rPr>
              <w:t>»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составляет 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000,00 рублей.</w:t>
            </w:r>
          </w:p>
        </w:tc>
      </w:tr>
      <w:tr w:rsidR="00424C24" w:rsidRPr="00C55511" w:rsidTr="00A4112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C55511" w:rsidRDefault="00424C24" w:rsidP="00A4112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Валюта вклада: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российские рубли.</w:t>
            </w: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</w:t>
            </w:r>
          </w:p>
        </w:tc>
      </w:tr>
      <w:tr w:rsidR="00424C24" w:rsidRPr="00C55511" w:rsidTr="00A4112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C55511" w:rsidRDefault="00424C24" w:rsidP="00424C24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Срок вклада: 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1100</w:t>
            </w:r>
            <w:r w:rsidRPr="009201BC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дней.</w:t>
            </w:r>
          </w:p>
        </w:tc>
      </w:tr>
      <w:tr w:rsidR="00424C24" w:rsidRPr="00C55511" w:rsidTr="00A41128">
        <w:trPr>
          <w:trHeight w:val="491"/>
        </w:trPr>
        <w:tc>
          <w:tcPr>
            <w:tcW w:w="10065" w:type="dxa"/>
            <w:tcBorders>
              <w:top w:val="nil"/>
              <w:left w:val="nil"/>
              <w:right w:val="nil"/>
            </w:tcBorders>
            <w:vAlign w:val="center"/>
          </w:tcPr>
          <w:p w:rsidR="00424C24" w:rsidRPr="00C55511" w:rsidRDefault="00424C24" w:rsidP="00110690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Возможность дистанционного обслуживания: </w:t>
            </w:r>
            <w:r w:rsidR="00110690"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>возможно</w:t>
            </w:r>
            <w:r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>.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Ознакомьтесь с УСЛОВИЯМИ дистанционного банковского обслуживания физических лиц в ООО банк «Элита»</w:t>
            </w:r>
          </w:p>
        </w:tc>
      </w:tr>
      <w:tr w:rsidR="00424C24" w:rsidRPr="009E25A4" w:rsidTr="00A41128">
        <w:trPr>
          <w:trHeight w:val="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9E25A4" w:rsidRDefault="00424C24" w:rsidP="00576D18">
            <w:pPr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Необходимость заключения иных договоров: </w:t>
            </w:r>
            <w:r w:rsidR="00576D18"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отсутствует</w:t>
            </w:r>
            <w:r w:rsidR="00576D18">
              <w:rPr>
                <w:rFonts w:ascii="Courier New" w:eastAsiaTheme="minorEastAsia" w:hAnsi="Courier New" w:cs="Courier New"/>
                <w:sz w:val="22"/>
                <w:szCs w:val="22"/>
              </w:rPr>
              <w:t>.</w:t>
            </w:r>
          </w:p>
        </w:tc>
      </w:tr>
      <w:tr w:rsidR="00424C24" w:rsidRPr="00C55511" w:rsidTr="00A41128">
        <w:trPr>
          <w:trHeight w:val="47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C55511" w:rsidRDefault="00424C24" w:rsidP="00A4112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ПРОЦЕНТЫ ПО ВКЛАДУ</w:t>
            </w:r>
          </w:p>
        </w:tc>
      </w:tr>
      <w:tr w:rsidR="00424C24" w:rsidRPr="00C55511" w:rsidTr="00A41128">
        <w:trPr>
          <w:trHeight w:val="8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C55511" w:rsidRDefault="00424C24" w:rsidP="00966B63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Минимальная гарантированная ставка</w:t>
            </w:r>
            <w:r w:rsidRPr="009E25A4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по вкладу</w:t>
            </w: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: 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>6,</w:t>
            </w:r>
            <w:r w:rsidR="004A6403">
              <w:rPr>
                <w:rFonts w:ascii="Courier New" w:eastAsiaTheme="minorEastAsia" w:hAnsi="Courier New" w:cs="Courier New"/>
                <w:sz w:val="22"/>
                <w:szCs w:val="22"/>
              </w:rPr>
              <w:t>9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00 %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годовых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(</w:t>
            </w:r>
            <w:r w:rsidRPr="009E25A4">
              <w:rPr>
                <w:rFonts w:ascii="Courier New" w:eastAsiaTheme="minorEastAsia" w:hAnsi="Courier New" w:cs="Courier New"/>
                <w:bCs/>
                <w:sz w:val="22"/>
                <w:szCs w:val="22"/>
              </w:rPr>
              <w:t>при условии хранения денежных средств до истечения срока вклада)</w:t>
            </w:r>
          </w:p>
        </w:tc>
      </w:tr>
      <w:tr w:rsidR="00424C24" w:rsidRPr="00C55511" w:rsidTr="00A4112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C55511" w:rsidRDefault="00424C24" w:rsidP="00966B63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Максимально возможная процентная ставка: </w:t>
            </w:r>
            <w:r w:rsidR="00966B63">
              <w:rPr>
                <w:rFonts w:ascii="Courier New" w:eastAsiaTheme="minorEastAsia" w:hAnsi="Courier New" w:cs="Courier New"/>
                <w:sz w:val="22"/>
                <w:szCs w:val="22"/>
              </w:rPr>
              <w:t>6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4A6403">
              <w:rPr>
                <w:rFonts w:ascii="Courier New" w:eastAsiaTheme="minorEastAsia" w:hAnsi="Courier New" w:cs="Courier New"/>
                <w:sz w:val="22"/>
                <w:szCs w:val="22"/>
              </w:rPr>
              <w:t>9</w:t>
            </w:r>
            <w:bookmarkStart w:id="0" w:name="_GoBack"/>
            <w:bookmarkEnd w:id="0"/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%  годовых</w:t>
            </w:r>
          </w:p>
        </w:tc>
      </w:tr>
      <w:tr w:rsidR="00424C24" w:rsidRPr="00C55511" w:rsidTr="00A41128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C55511" w:rsidRDefault="00424C24" w:rsidP="00A41128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Дополнительные условия, влияющие на процентную ставку: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отсутствуют</w:t>
            </w:r>
          </w:p>
        </w:tc>
      </w:tr>
      <w:tr w:rsidR="00424C24" w:rsidRPr="00C55511" w:rsidTr="00A4112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576D18" w:rsidRDefault="00424C24" w:rsidP="004D6D13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576D18">
              <w:rPr>
                <w:rFonts w:ascii="Courier New" w:hAnsi="Courier New" w:cs="Courier New"/>
                <w:b/>
                <w:sz w:val="22"/>
                <w:szCs w:val="22"/>
              </w:rPr>
              <w:t xml:space="preserve">Порядок начисления и получения процентов: </w:t>
            </w:r>
            <w:r w:rsidR="004D6D13"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Выплата </w:t>
            </w:r>
            <w:r w:rsidR="00F16D5C"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>процентов (</w:t>
            </w:r>
            <w:r w:rsidR="004D6D13"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>дохода</w:t>
            </w:r>
            <w:r w:rsidR="00F16D5C"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>)</w:t>
            </w:r>
            <w:r w:rsidR="004D6D13"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по вкладу производится по окончанию календарного месяца ежемесячно и по истечении срока хранения вклада, а также по окончании пролонгированного срока. Начисленные, но невыплаченные проценты, причисляются к основной сумме вклада.</w:t>
            </w:r>
          </w:p>
          <w:p w:rsidR="003C53A8" w:rsidRPr="00576D18" w:rsidRDefault="003C53A8" w:rsidP="003C53A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76D18">
              <w:rPr>
                <w:rFonts w:ascii="Courier New" w:hAnsi="Courier New" w:cs="Courier New"/>
                <w:sz w:val="22"/>
                <w:szCs w:val="22"/>
              </w:rPr>
              <w:t xml:space="preserve">   В случае востребования Вкладчиком всей суммы вклада до дня окончания срока вклада или пролонгированного срока доход за последний неполный календарный месяц хранения вклада выплачивается  по ставке вклада «До востребования» на </w:t>
            </w:r>
            <w:r w:rsidRPr="00576D18">
              <w:rPr>
                <w:rFonts w:ascii="Courier New" w:hAnsi="Courier New" w:cs="Courier New"/>
                <w:sz w:val="22"/>
                <w:szCs w:val="22"/>
              </w:rPr>
              <w:lastRenderedPageBreak/>
              <w:t>день возврата вклада, начисленные проценты за предыдущие месяцы хранения вклада не пересчитываются.</w:t>
            </w:r>
          </w:p>
        </w:tc>
      </w:tr>
      <w:tr w:rsidR="00424C24" w:rsidRPr="00C55511" w:rsidTr="00A41128">
        <w:trPr>
          <w:trHeight w:val="46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D13" w:rsidRPr="00576D18" w:rsidRDefault="004D6D13" w:rsidP="004D6D13">
            <w:pPr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576D18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Возможность пополнения: </w:t>
            </w:r>
          </w:p>
          <w:p w:rsidR="004D6D13" w:rsidRPr="00576D18" w:rsidRDefault="004D6D13" w:rsidP="003C53A8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>Периодичность внесения дополнительных взносов не ограничивается.</w:t>
            </w:r>
          </w:p>
          <w:p w:rsidR="00424C24" w:rsidRPr="00576D18" w:rsidRDefault="004D6D13" w:rsidP="003C53A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>Дополнительные взносы  наличными денежными средствами принимаются во вклад. в суммах не менее 1000 рублей и комиссией не облагаются</w:t>
            </w:r>
          </w:p>
        </w:tc>
      </w:tr>
      <w:tr w:rsidR="00424C24" w:rsidRPr="00C55511" w:rsidTr="00A41128">
        <w:trPr>
          <w:trHeight w:val="4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C55511" w:rsidRDefault="00424C24" w:rsidP="004D6D13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Расходные операции: </w:t>
            </w:r>
            <w:r w:rsidR="004D6D13" w:rsidRPr="004D6D13">
              <w:rPr>
                <w:rFonts w:ascii="Courier New" w:eastAsiaTheme="minorEastAsia" w:hAnsi="Courier New" w:cs="Courier New"/>
                <w:sz w:val="22"/>
                <w:szCs w:val="22"/>
              </w:rPr>
              <w:t>Допускаются расходные операции по вкладу в пределах неснижаемого остатка</w:t>
            </w:r>
            <w:r w:rsidR="004D6D13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="004D6D13" w:rsidRPr="004D6D13">
              <w:rPr>
                <w:rFonts w:ascii="Courier New" w:eastAsiaTheme="minorEastAsia" w:hAnsi="Courier New" w:cs="Courier New"/>
                <w:sz w:val="22"/>
                <w:szCs w:val="22"/>
              </w:rPr>
              <w:t>без потери процентной ставки.</w:t>
            </w:r>
          </w:p>
        </w:tc>
      </w:tr>
      <w:tr w:rsidR="00424C24" w:rsidRPr="00C55511" w:rsidTr="00A41128">
        <w:trPr>
          <w:trHeight w:val="4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C55511" w:rsidRDefault="00424C24" w:rsidP="00A4112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  <w:highlight w:val="yellow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ПРЕКРАЩЕНИЕ ДОГОВОРА ВКЛАДА</w:t>
            </w:r>
          </w:p>
        </w:tc>
      </w:tr>
      <w:tr w:rsidR="00424C24" w:rsidRPr="00C55511" w:rsidTr="00A4112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576D18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576D18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кредитной организации: </w:t>
            </w:r>
            <w:r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>Прекращение договора Вклада по инициативе Банка возможно в соответствии с законодательством Российской Федерации.</w:t>
            </w:r>
          </w:p>
          <w:p w:rsidR="00424C24" w:rsidRPr="00576D18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424C24" w:rsidRPr="00576D18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76D18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клиента: </w:t>
            </w:r>
            <w:r w:rsidRPr="00576D18">
              <w:rPr>
                <w:rFonts w:ascii="Courier New" w:hAnsi="Courier New" w:cs="Courier New"/>
                <w:sz w:val="22"/>
                <w:szCs w:val="22"/>
              </w:rPr>
              <w:t>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вклада.  Банк осуществляет выдачу наличных денежных средств через кассу Банка в соответствии с условиями досрочного расторжения договора вклада, либо на Счет банка РФ указанный при расторжении договора вклада.</w:t>
            </w:r>
          </w:p>
          <w:p w:rsidR="00424C24" w:rsidRPr="00576D18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424C24" w:rsidRPr="00576D18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576D18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Если срок вклада закончился:   </w:t>
            </w:r>
          </w:p>
          <w:p w:rsidR="003E2BC8" w:rsidRPr="00576D18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Договор пролонгируется </w:t>
            </w:r>
            <w:r w:rsidR="003C53A8"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>неоднократно без явки Вкладчика в Банк на условиях и под процентную ставку, действующие в Банке по Пенсионному вкладу на день, следующий за датой окончания предыдущего срока хранения вклада</w:t>
            </w:r>
            <w:r w:rsidR="00CC60DB"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>.</w:t>
            </w:r>
            <w:r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</w:p>
          <w:p w:rsidR="00424C24" w:rsidRPr="00576D18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="003E2BC8"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В случае принятия Банком решения о прекращении открытия новых счетов по данному виду вклада вклад пролонгируется на условиях вклада «До востребования».</w:t>
            </w:r>
          </w:p>
        </w:tc>
      </w:tr>
      <w:tr w:rsidR="00424C24" w:rsidRPr="00C55511" w:rsidTr="00A4112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576D18" w:rsidRDefault="00424C24" w:rsidP="00A4112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576D18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РАСХОДЫ ПОТРЕБИТЕЛЯ</w:t>
            </w:r>
          </w:p>
        </w:tc>
      </w:tr>
      <w:tr w:rsidR="00424C24" w:rsidRPr="00C8343F" w:rsidTr="00A4112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43F" w:rsidRPr="00576D18" w:rsidRDefault="00C8343F" w:rsidP="00C8343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Дополнительные взносы во вклад, поступившие безналичным путем в пользу Вкладчика от иных организаций, кроме Пенсионного фонда РФ, негосударственных Пенсионных фондов, благотворительных и иных специализированных организаций, а также банков, зачисляются во вклад с уплатой комиссии в соответствии с Тарифами Банка на день поступления денежных средств на счет Вкладчика.</w:t>
            </w:r>
            <w:r w:rsidR="00424C24" w:rsidRPr="00576D18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 </w:t>
            </w:r>
          </w:p>
          <w:p w:rsidR="00424C24" w:rsidRPr="00576D18" w:rsidRDefault="00C8343F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576D18">
              <w:rPr>
                <w:rFonts w:ascii="Courier New" w:hAnsi="Courier New" w:cs="Courier New"/>
                <w:sz w:val="22"/>
              </w:rPr>
              <w:t xml:space="preserve">   </w:t>
            </w:r>
            <w:r w:rsidR="00424C24" w:rsidRPr="00576D18">
              <w:rPr>
                <w:rFonts w:ascii="Courier New" w:hAnsi="Courier New" w:cs="Courier New"/>
                <w:sz w:val="22"/>
              </w:rPr>
              <w:t>Отдельные услуги предоставляются "Банком" "Вкладчику" на возмездной основе в соответствии с тарифами, действующими в "Банке" на день предоставления услуги.</w:t>
            </w:r>
          </w:p>
        </w:tc>
      </w:tr>
      <w:tr w:rsidR="00424C24" w:rsidRPr="00C55511" w:rsidTr="00A4112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C55511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         СТРАХОВАНИЕ ДЕНЕЖНЫХ СРЕДСТВ, РАЗМЕЩЕННЫХ ВО ВКЛАД</w:t>
            </w:r>
          </w:p>
        </w:tc>
      </w:tr>
      <w:tr w:rsidR="00424C24" w:rsidRPr="00C55511" w:rsidTr="00A4112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C24" w:rsidRPr="009E25A4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Денежные средства по совокупности вкладов и остатков по всем счетам в Банке застрахованы в пределах 1,4 млн рублей в соответствии с Федеральным законом от 23.12.2003 N177 - ФЗ "О страховании вкладов физических лиц в банках Российской Федерации"</w:t>
            </w:r>
          </w:p>
          <w:p w:rsidR="00424C24" w:rsidRPr="009E25A4" w:rsidRDefault="00424C24" w:rsidP="00A4112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ОБРАЩАЕМ ВНИМАНИЕ</w:t>
            </w:r>
          </w:p>
          <w:p w:rsidR="00424C24" w:rsidRPr="009E25A4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  Банк не вправе в одностороннем порядке (в пределах срока вклада):</w:t>
            </w:r>
          </w:p>
          <w:p w:rsidR="00424C24" w:rsidRPr="009E25A4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>изменять процентную ставку по вкладу в период действия договора в сторону ее уменьшения;</w:t>
            </w:r>
          </w:p>
          <w:p w:rsidR="00424C24" w:rsidRPr="009E25A4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424C24" w:rsidRPr="009E25A4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>- изменять срок действия договора;</w:t>
            </w:r>
          </w:p>
          <w:p w:rsidR="00424C24" w:rsidRPr="00C55511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- увеличивать или устанавливать комиссионное вознаграждение по операциям по 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lastRenderedPageBreak/>
              <w:t>продукту</w:t>
            </w:r>
          </w:p>
        </w:tc>
      </w:tr>
      <w:tr w:rsidR="00424C24" w:rsidRPr="00C55511" w:rsidTr="00A4112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C24" w:rsidRPr="00C55511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                      Способы направления обращений в Банк</w:t>
            </w:r>
          </w:p>
          <w:p w:rsidR="00424C24" w:rsidRPr="00C55511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424C24" w:rsidRPr="00C55511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Вкладчик может направить письменное обращение в Банк</w:t>
            </w:r>
            <w:r w:rsidRPr="00C55511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посредством почтовой связи, по адресу, указанному в договоре, либо через сайт Банка в разделе «Обратная связь», а также предоставить его в офис Банка.  </w:t>
            </w:r>
          </w:p>
          <w:p w:rsidR="00424C24" w:rsidRPr="00C55511" w:rsidRDefault="00424C24" w:rsidP="00A4112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</w:tc>
      </w:tr>
    </w:tbl>
    <w:p w:rsidR="00424C24" w:rsidRPr="00C55511" w:rsidRDefault="00424C24" w:rsidP="00424C24">
      <w:pPr>
        <w:pStyle w:val="a5"/>
        <w:rPr>
          <w:sz w:val="18"/>
          <w:szCs w:val="18"/>
          <w:highlight w:val="yellow"/>
        </w:rPr>
      </w:pPr>
      <w:r w:rsidRPr="00C55511">
        <w:rPr>
          <w:sz w:val="18"/>
          <w:szCs w:val="18"/>
          <w:highlight w:val="yellow"/>
        </w:rPr>
        <w:t xml:space="preserve">                  </w:t>
      </w:r>
    </w:p>
    <w:p w:rsidR="00424C24" w:rsidRPr="00C55511" w:rsidRDefault="00424C24" w:rsidP="00424C24">
      <w:pPr>
        <w:pStyle w:val="a5"/>
        <w:rPr>
          <w:sz w:val="18"/>
          <w:szCs w:val="18"/>
          <w:highlight w:val="yellow"/>
        </w:rPr>
      </w:pPr>
    </w:p>
    <w:sectPr w:rsidR="00424C24" w:rsidRPr="00C55511">
      <w:pgSz w:w="11906" w:h="16838"/>
      <w:pgMar w:top="1134" w:right="1797" w:bottom="902" w:left="1797" w:header="720" w:footer="720" w:gutter="0"/>
      <w:pgBorders w:offsetFrom="page">
        <w:top w:val="flowersTiny" w:sz="20" w:space="17" w:color="auto"/>
        <w:left w:val="flowersTiny" w:sz="20" w:space="17" w:color="auto"/>
        <w:bottom w:val="flowersTiny" w:sz="20" w:space="17" w:color="auto"/>
        <w:right w:val="flowersTiny" w:sz="20" w:space="17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6615"/>
    <w:multiLevelType w:val="hybridMultilevel"/>
    <w:tmpl w:val="1974C656"/>
    <w:lvl w:ilvl="0" w:tplc="7438E614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plc="19B6C6A0">
      <w:numFmt w:val="none"/>
      <w:lvlText w:val=""/>
      <w:lvlJc w:val="left"/>
      <w:pPr>
        <w:tabs>
          <w:tab w:val="num" w:pos="360"/>
        </w:tabs>
      </w:pPr>
    </w:lvl>
    <w:lvl w:ilvl="2" w:tplc="84C61B3A">
      <w:numFmt w:val="none"/>
      <w:lvlText w:val=""/>
      <w:lvlJc w:val="left"/>
      <w:pPr>
        <w:tabs>
          <w:tab w:val="num" w:pos="360"/>
        </w:tabs>
      </w:pPr>
    </w:lvl>
    <w:lvl w:ilvl="3" w:tplc="F0FC94FE">
      <w:numFmt w:val="none"/>
      <w:lvlText w:val=""/>
      <w:lvlJc w:val="left"/>
      <w:pPr>
        <w:tabs>
          <w:tab w:val="num" w:pos="360"/>
        </w:tabs>
      </w:pPr>
    </w:lvl>
    <w:lvl w:ilvl="4" w:tplc="463CF594">
      <w:numFmt w:val="none"/>
      <w:lvlText w:val=""/>
      <w:lvlJc w:val="left"/>
      <w:pPr>
        <w:tabs>
          <w:tab w:val="num" w:pos="360"/>
        </w:tabs>
      </w:pPr>
    </w:lvl>
    <w:lvl w:ilvl="5" w:tplc="E3C49258">
      <w:numFmt w:val="none"/>
      <w:lvlText w:val=""/>
      <w:lvlJc w:val="left"/>
      <w:pPr>
        <w:tabs>
          <w:tab w:val="num" w:pos="360"/>
        </w:tabs>
      </w:pPr>
    </w:lvl>
    <w:lvl w:ilvl="6" w:tplc="E396B680">
      <w:numFmt w:val="none"/>
      <w:lvlText w:val=""/>
      <w:lvlJc w:val="left"/>
      <w:pPr>
        <w:tabs>
          <w:tab w:val="num" w:pos="360"/>
        </w:tabs>
      </w:pPr>
    </w:lvl>
    <w:lvl w:ilvl="7" w:tplc="D58C1592">
      <w:numFmt w:val="none"/>
      <w:lvlText w:val=""/>
      <w:lvlJc w:val="left"/>
      <w:pPr>
        <w:tabs>
          <w:tab w:val="num" w:pos="360"/>
        </w:tabs>
      </w:pPr>
    </w:lvl>
    <w:lvl w:ilvl="8" w:tplc="F26E26E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23"/>
    <w:rsid w:val="00033D1F"/>
    <w:rsid w:val="00050B30"/>
    <w:rsid w:val="00054383"/>
    <w:rsid w:val="00086185"/>
    <w:rsid w:val="00110690"/>
    <w:rsid w:val="0014005B"/>
    <w:rsid w:val="0019230E"/>
    <w:rsid w:val="00192B0A"/>
    <w:rsid w:val="001E77CD"/>
    <w:rsid w:val="00205DD3"/>
    <w:rsid w:val="002333A3"/>
    <w:rsid w:val="002B63A3"/>
    <w:rsid w:val="002C048A"/>
    <w:rsid w:val="002D002E"/>
    <w:rsid w:val="003B7EFF"/>
    <w:rsid w:val="003C53A8"/>
    <w:rsid w:val="003E2BC8"/>
    <w:rsid w:val="003F24F2"/>
    <w:rsid w:val="004056DE"/>
    <w:rsid w:val="00424C24"/>
    <w:rsid w:val="00426B7E"/>
    <w:rsid w:val="004613AE"/>
    <w:rsid w:val="004A6403"/>
    <w:rsid w:val="004D6D13"/>
    <w:rsid w:val="00576D18"/>
    <w:rsid w:val="0074147E"/>
    <w:rsid w:val="007966F6"/>
    <w:rsid w:val="007A1611"/>
    <w:rsid w:val="00801B13"/>
    <w:rsid w:val="0083085B"/>
    <w:rsid w:val="0083117C"/>
    <w:rsid w:val="00833D1B"/>
    <w:rsid w:val="008D724A"/>
    <w:rsid w:val="008E6CC5"/>
    <w:rsid w:val="008F2510"/>
    <w:rsid w:val="00966B63"/>
    <w:rsid w:val="00996480"/>
    <w:rsid w:val="009C5A4E"/>
    <w:rsid w:val="00A04B9A"/>
    <w:rsid w:val="00A075CC"/>
    <w:rsid w:val="00A445BB"/>
    <w:rsid w:val="00A52672"/>
    <w:rsid w:val="00A67538"/>
    <w:rsid w:val="00A85734"/>
    <w:rsid w:val="00AB5F7E"/>
    <w:rsid w:val="00AD66A7"/>
    <w:rsid w:val="00B038EE"/>
    <w:rsid w:val="00B37D74"/>
    <w:rsid w:val="00B731A6"/>
    <w:rsid w:val="00B74D83"/>
    <w:rsid w:val="00B93342"/>
    <w:rsid w:val="00C015C6"/>
    <w:rsid w:val="00C542B4"/>
    <w:rsid w:val="00C62AF9"/>
    <w:rsid w:val="00C74EF5"/>
    <w:rsid w:val="00C8343F"/>
    <w:rsid w:val="00CC0E24"/>
    <w:rsid w:val="00CC60DB"/>
    <w:rsid w:val="00D30B40"/>
    <w:rsid w:val="00D85F81"/>
    <w:rsid w:val="00E30203"/>
    <w:rsid w:val="00E41195"/>
    <w:rsid w:val="00E95939"/>
    <w:rsid w:val="00EB0E6E"/>
    <w:rsid w:val="00ED5123"/>
    <w:rsid w:val="00F154AE"/>
    <w:rsid w:val="00F1558D"/>
    <w:rsid w:val="00F16D5C"/>
    <w:rsid w:val="00FB7EF0"/>
    <w:rsid w:val="00FD414C"/>
    <w:rsid w:val="00FD7667"/>
    <w:rsid w:val="00FE6967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5571"/>
  <w15:chartTrackingRefBased/>
  <w15:docId w15:val="{A1F3178A-D080-4C74-AC87-42F49756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6CC5"/>
    <w:pPr>
      <w:ind w:left="-284" w:firstLine="64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E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E6CC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E6C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8E6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11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1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96CFF-DAC4-4A74-803C-7453A8FA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Елена Вячеславовна</dc:creator>
  <cp:keywords/>
  <dc:description/>
  <cp:lastModifiedBy>Анохин Р.Е.</cp:lastModifiedBy>
  <cp:revision>9</cp:revision>
  <cp:lastPrinted>2022-09-30T12:10:00Z</cp:lastPrinted>
  <dcterms:created xsi:type="dcterms:W3CDTF">2022-10-17T14:32:00Z</dcterms:created>
  <dcterms:modified xsi:type="dcterms:W3CDTF">2023-08-07T12:36:00Z</dcterms:modified>
</cp:coreProperties>
</file>